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sz w:val="36"/>
          <w:szCs w:val="36"/>
        </w:rPr>
      </w:pPr>
      <w:r>
        <w:rPr>
          <w:rFonts w:hint="eastAsia" w:eastAsia="黑体" w:cs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hint="eastAsia" w:eastAsia="方正小标宋简体" w:cs="方正小标宋简体"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left"/>
        <w:rPr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单位</w:t>
      </w:r>
      <w:r>
        <w:rPr>
          <w:sz w:val="24"/>
          <w:szCs w:val="24"/>
          <w:u w:val="single"/>
        </w:rPr>
        <w:t xml:space="preserve">      </w:t>
      </w:r>
      <w:r>
        <w:rPr>
          <w:rFonts w:hint="eastAsia" w:cs="宋体"/>
          <w:sz w:val="24"/>
          <w:szCs w:val="24"/>
          <w:u w:val="single"/>
        </w:rPr>
        <w:t>湖南女子学院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cs="宋体"/>
          <w:sz w:val="24"/>
          <w:szCs w:val="24"/>
          <w:u w:val="single"/>
        </w:rPr>
        <w:t>　</w:t>
      </w:r>
      <w:r>
        <w:rPr>
          <w:rFonts w:hint="eastAsia" w:cs="宋体"/>
          <w:sz w:val="24"/>
          <w:szCs w:val="24"/>
        </w:rPr>
        <w:t>　姓名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 w:cs="宋体"/>
          <w:sz w:val="24"/>
          <w:szCs w:val="24"/>
          <w:u w:val="single"/>
        </w:rPr>
        <w:t>陈喜　　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 w:cs="宋体"/>
          <w:sz w:val="24"/>
          <w:szCs w:val="24"/>
        </w:rPr>
        <w:t>　　　　　申报职称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 w:cs="宋体"/>
          <w:sz w:val="24"/>
          <w:szCs w:val="24"/>
          <w:u w:val="single"/>
        </w:rPr>
        <w:t>副教授　　　　</w:t>
      </w:r>
      <w:r>
        <w:rPr>
          <w:sz w:val="24"/>
          <w:szCs w:val="24"/>
          <w:u w:val="single"/>
        </w:rPr>
        <w:t xml:space="preserve">        </w:t>
      </w:r>
      <w:r>
        <w:rPr>
          <w:rFonts w:eastAsia="黑体"/>
          <w:b/>
          <w:bCs/>
          <w:sz w:val="24"/>
          <w:szCs w:val="24"/>
        </w:rPr>
        <w:t xml:space="preserve">  </w:t>
      </w:r>
      <w:r>
        <w:rPr>
          <w:rFonts w:hint="eastAsia" w:eastAsia="黑体" w:cs="黑体"/>
          <w:b/>
          <w:bCs/>
          <w:sz w:val="24"/>
          <w:szCs w:val="24"/>
        </w:rPr>
        <w:t>　　　　　　　　　　　　　　</w:t>
      </w:r>
      <w:r>
        <w:rPr>
          <w:rFonts w:hint="eastAsia" w:cs="宋体"/>
          <w:sz w:val="24"/>
          <w:szCs w:val="24"/>
        </w:rPr>
        <w:t>学科（专业）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 w:cs="宋体"/>
          <w:sz w:val="24"/>
          <w:szCs w:val="24"/>
          <w:u w:val="single"/>
        </w:rPr>
        <w:t>教育心理学（音乐教育）　　　</w:t>
      </w:r>
      <w:r>
        <w:rPr>
          <w:sz w:val="24"/>
          <w:szCs w:val="24"/>
          <w:u w:val="single"/>
        </w:rPr>
        <w:t xml:space="preserve"> </w:t>
      </w:r>
    </w:p>
    <w:tbl>
      <w:tblPr>
        <w:tblStyle w:val="8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355"/>
        <w:gridCol w:w="313"/>
        <w:gridCol w:w="1042"/>
        <w:gridCol w:w="159"/>
        <w:gridCol w:w="1103"/>
        <w:gridCol w:w="93"/>
        <w:gridCol w:w="1356"/>
        <w:gridCol w:w="722"/>
        <w:gridCol w:w="1195"/>
        <w:gridCol w:w="1462"/>
        <w:gridCol w:w="409"/>
        <w:gridCol w:w="559"/>
        <w:gridCol w:w="1037"/>
        <w:gridCol w:w="1301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基本情况</w:t>
            </w:r>
          </w:p>
        </w:tc>
        <w:tc>
          <w:tcPr>
            <w:tcW w:w="15560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distribute"/>
              <w:textAlignment w:val="auto"/>
            </w:pPr>
            <w:r>
              <w:rPr>
                <w:rFonts w:hint="eastAsia" w:cs="宋体"/>
              </w:rPr>
              <w:t>姓</w:t>
            </w:r>
            <w:r>
              <w:t xml:space="preserve">  </w:t>
            </w:r>
            <w:r>
              <w:rPr>
                <w:rFonts w:hint="eastAsia" w:cs="宋体"/>
              </w:rPr>
              <w:t>名</w:t>
            </w:r>
          </w:p>
        </w:tc>
        <w:tc>
          <w:tcPr>
            <w:tcW w:w="16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陈喜</w:t>
            </w:r>
          </w:p>
        </w:tc>
        <w:tc>
          <w:tcPr>
            <w:tcW w:w="23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  <w:r>
              <w:t>1977.11.16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作</w:t>
            </w:r>
          </w:p>
        </w:tc>
        <w:tc>
          <w:tcPr>
            <w:tcW w:w="597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主要教学业绩</w:t>
            </w:r>
          </w:p>
        </w:tc>
        <w:tc>
          <w:tcPr>
            <w:tcW w:w="381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指导青年教师情况</w:t>
            </w:r>
          </w:p>
        </w:tc>
        <w:tc>
          <w:tcPr>
            <w:tcW w:w="124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教务部门审核意见（盖章）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  <w:r>
              <w:rPr>
                <w:rFonts w:hint="eastAsia" w:cs="宋体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distribute"/>
              <w:textAlignment w:val="auto"/>
            </w:pPr>
            <w:r>
              <w:rPr>
                <w:rFonts w:hint="eastAsia" w:cs="宋体"/>
              </w:rPr>
              <w:t>性</w:t>
            </w:r>
            <w:r>
              <w:t xml:space="preserve">  </w:t>
            </w:r>
            <w:r>
              <w:rPr>
                <w:rFonts w:hint="eastAsia" w:cs="宋体"/>
              </w:rPr>
              <w:t>别</w:t>
            </w:r>
          </w:p>
        </w:tc>
        <w:tc>
          <w:tcPr>
            <w:tcW w:w="168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女</w:t>
            </w:r>
          </w:p>
        </w:tc>
        <w:tc>
          <w:tcPr>
            <w:tcW w:w="230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86" w:leftChars="-41" w:right="-80" w:rightChars="-38"/>
              <w:jc w:val="center"/>
              <w:textAlignment w:val="auto"/>
            </w:pPr>
            <w:r>
              <w:rPr>
                <w:rFonts w:hint="eastAsia" w:cs="宋体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2001.7.1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1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44" w:leftChars="-21" w:right="-42" w:rightChars="-20"/>
              <w:jc w:val="center"/>
              <w:textAlignment w:val="auto"/>
            </w:pPr>
            <w:r>
              <w:rPr>
                <w:rFonts w:hint="eastAsia" w:cs="宋体"/>
              </w:rPr>
              <w:t>按年度填写教学工作量</w:t>
            </w:r>
          </w:p>
        </w:tc>
        <w:tc>
          <w:tcPr>
            <w:tcW w:w="14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94" w:right="-61" w:rightChars="-29"/>
              <w:jc w:val="center"/>
              <w:textAlignment w:val="auto"/>
            </w:pPr>
            <w:r>
              <w:rPr>
                <w:rFonts w:hint="eastAsia" w:cs="宋体"/>
              </w:rPr>
              <w:t>年度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7" w:right="-76" w:rightChars="-36"/>
              <w:jc w:val="center"/>
              <w:textAlignment w:val="auto"/>
            </w:pPr>
            <w:r>
              <w:rPr>
                <w:rFonts w:hint="eastAsia" w:cs="宋体"/>
              </w:rPr>
              <w:t>课堂教学（学时）</w:t>
            </w:r>
          </w:p>
        </w:tc>
        <w:tc>
          <w:tcPr>
            <w:tcW w:w="130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59" w:rightChars="-28"/>
              <w:jc w:val="center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</w:rPr>
              <w:t>其它教学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59" w:rightChars="-28"/>
              <w:jc w:val="center"/>
              <w:textAlignment w:val="auto"/>
            </w:pPr>
            <w:r>
              <w:rPr>
                <w:rFonts w:hint="eastAsia" w:cs="宋体"/>
              </w:rPr>
              <w:t>工作量</w:t>
            </w:r>
          </w:p>
        </w:tc>
        <w:tc>
          <w:tcPr>
            <w:tcW w:w="3813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ascii="宋体"/>
                <w:kern w:val="0"/>
              </w:rPr>
            </w:pPr>
            <w:r>
              <w:rPr>
                <w:rFonts w:hint="eastAsia" w:cs="宋体"/>
              </w:rPr>
              <w:t>近五年来担任《中外学前教育史》《音乐欣赏与民歌选唱》</w:t>
            </w:r>
            <w:r>
              <w:rPr>
                <w:rFonts w:hint="eastAsia" w:ascii="宋体" w:hAnsi="宋体" w:cs="宋体"/>
                <w:kern w:val="0"/>
              </w:rPr>
              <w:t>《播音学概论》</w:t>
            </w:r>
            <w:r>
              <w:rPr>
                <w:rFonts w:hint="eastAsia" w:cs="宋体"/>
              </w:rPr>
              <w:t>《普通话与口才》</w:t>
            </w:r>
            <w:r>
              <w:rPr>
                <w:rFonts w:hint="eastAsia" w:ascii="宋体" w:hAnsi="宋体" w:cs="宋体"/>
                <w:kern w:val="0"/>
              </w:rPr>
              <w:t>《酒品与饮料》</w:t>
            </w:r>
            <w:r>
              <w:rPr>
                <w:rFonts w:hint="eastAsia" w:cs="宋体"/>
              </w:rPr>
              <w:t>等课程的主讲教学工作，五年累计</w:t>
            </w:r>
            <w:r>
              <w:rPr>
                <w:rFonts w:hint="eastAsia" w:cs="宋体"/>
                <w:lang w:val="en-US" w:eastAsia="zh-CN"/>
              </w:rPr>
              <w:t>1664.4</w:t>
            </w:r>
            <w:r>
              <w:rPr>
                <w:rFonts w:hint="eastAsia" w:cs="宋体"/>
              </w:rPr>
              <w:t>课时。所授课程深受学生欢迎，教学效果好，在近五年课程教学考核中多次被评为“优秀”。</w:t>
            </w:r>
          </w:p>
        </w:tc>
        <w:tc>
          <w:tcPr>
            <w:tcW w:w="3813" w:type="dxa"/>
            <w:gridSpan w:val="5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</w:pPr>
            <w:r>
              <w:rPr>
                <w:rFonts w:hint="eastAsia"/>
                <w:sz w:val="21"/>
                <w:szCs w:val="21"/>
              </w:rPr>
              <w:t>经</w:t>
            </w:r>
            <w:r>
              <w:rPr>
                <w:rFonts w:hint="eastAsia" w:cs="宋体"/>
              </w:rPr>
              <w:t>常参与针对青年教师的听课评课工作，并就其教学中存在的问题进行讨论和指导。</w:t>
            </w: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68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230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95" w:right="-73" w:rightChars="-35"/>
              <w:jc w:val="center"/>
              <w:textAlignment w:val="auto"/>
            </w:pPr>
            <w:r>
              <w:rPr>
                <w:rFonts w:hint="eastAsia" w:cs="宋体"/>
              </w:rPr>
              <w:t>理论教学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75"/>
              <w:jc w:val="center"/>
              <w:textAlignment w:val="auto"/>
            </w:pPr>
            <w:r>
              <w:rPr>
                <w:rFonts w:hint="eastAsia" w:cs="宋体"/>
              </w:rPr>
              <w:t>实践教学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3023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7" w:leftChars="-32" w:right="-69" w:rightChars="-33"/>
              <w:jc w:val="center"/>
              <w:textAlignment w:val="auto"/>
            </w:pPr>
            <w:r>
              <w:rPr>
                <w:rFonts w:hint="eastAsia" w:cs="宋体"/>
              </w:rPr>
              <w:t>现专业技术职称</w:t>
            </w:r>
          </w:p>
        </w:tc>
        <w:tc>
          <w:tcPr>
            <w:tcW w:w="120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13" w:leftChars="-51" w:right="-107" w:rightChars="-51" w:hanging="94" w:hangingChars="45"/>
              <w:jc w:val="center"/>
              <w:textAlignment w:val="auto"/>
            </w:pPr>
            <w:r>
              <w:rPr>
                <w:rFonts w:hint="eastAsia" w:cs="宋体"/>
              </w:rPr>
              <w:t>讲师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71" w:leftChars="-34" w:right="-61" w:rightChars="-29"/>
              <w:jc w:val="center"/>
              <w:textAlignment w:val="auto"/>
            </w:pPr>
            <w:r>
              <w:rPr>
                <w:rFonts w:hint="eastAsia" w:cs="宋体"/>
              </w:rPr>
              <w:t>现　　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71" w:leftChars="-34" w:right="-61" w:rightChars="-29"/>
              <w:jc w:val="center"/>
              <w:textAlignment w:val="auto"/>
            </w:pPr>
            <w:r>
              <w:rPr>
                <w:rFonts w:hint="eastAsia" w:cs="宋体"/>
              </w:rPr>
              <w:t>始聘时间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  <w:r>
              <w:t>2006.11.30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302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20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13" w:leftChars="-51" w:right="-107" w:rightChars="-51" w:hanging="94" w:hangingChars="45"/>
              <w:jc w:val="center"/>
              <w:textAlignment w:val="auto"/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13" w:leftChars="-51" w:right="-107" w:rightChars="-51" w:hanging="94" w:hangingChars="45"/>
              <w:jc w:val="center"/>
              <w:textAlignment w:val="auto"/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462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2013-2014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2014-2015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2015</w:t>
            </w:r>
            <w:r>
              <w:rPr>
                <w:rFonts w:ascii="宋体" w:cs="宋体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sz w:val="21"/>
                <w:szCs w:val="21"/>
              </w:rPr>
              <w:t>2016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2016</w:t>
            </w:r>
            <w:r>
              <w:rPr>
                <w:rFonts w:ascii="宋体" w:cs="宋体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sz w:val="21"/>
                <w:szCs w:val="21"/>
              </w:rPr>
              <w:t>2017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2017</w:t>
            </w:r>
            <w:r>
              <w:rPr>
                <w:rFonts w:ascii="宋体" w:cs="宋体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sz w:val="21"/>
                <w:szCs w:val="21"/>
              </w:rPr>
              <w:t>2018</w:t>
            </w:r>
          </w:p>
        </w:tc>
        <w:tc>
          <w:tcPr>
            <w:tcW w:w="968" w:type="dxa"/>
            <w:gridSpan w:val="2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55</w:t>
            </w:r>
            <w:r>
              <w:rPr>
                <w:rFonts w:ascii="宋体" w:hAnsi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69</w:t>
            </w:r>
            <w:r>
              <w:rPr>
                <w:rFonts w:ascii="宋体" w:hAnsi="宋体" w:cs="宋体"/>
                <w:sz w:val="21"/>
                <w:szCs w:val="21"/>
              </w:rPr>
              <w:t>.6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58</w:t>
            </w:r>
            <w:r>
              <w:rPr>
                <w:rFonts w:ascii="宋体" w:hAnsi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272</w:t>
            </w:r>
          </w:p>
        </w:tc>
        <w:tc>
          <w:tcPr>
            <w:tcW w:w="1037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09" w:type="dxa"/>
            <w:gridSpan w:val="2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-105" w:leftChars="-50" w:right="-105" w:rightChars="-50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33.6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-105" w:leftChars="-50" w:right="-105" w:rightChars="-5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28.8</w:t>
            </w: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distribute"/>
              <w:textAlignment w:val="auto"/>
            </w:pPr>
            <w:r>
              <w:rPr>
                <w:rFonts w:hint="eastAsia" w:cs="宋体"/>
              </w:rPr>
              <w:t>外语水平</w:t>
            </w:r>
          </w:p>
        </w:tc>
        <w:tc>
          <w:tcPr>
            <w:tcW w:w="16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英语综合</w:t>
            </w:r>
            <w:r>
              <w:t>B</w:t>
            </w:r>
            <w:r>
              <w:rPr>
                <w:rFonts w:hint="eastAsia" w:cs="宋体"/>
              </w:rPr>
              <w:t>级</w:t>
            </w:r>
          </w:p>
        </w:tc>
        <w:tc>
          <w:tcPr>
            <w:tcW w:w="23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  <w:spacing w:val="0"/>
              </w:rPr>
              <w:t>计算机水平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  <w:r>
              <w:rPr>
                <w:rFonts w:hint="eastAsia" w:cs="宋体"/>
              </w:rPr>
              <w:t>合格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distribute"/>
              <w:textAlignment w:val="auto"/>
            </w:pPr>
            <w:r>
              <w:rPr>
                <w:rFonts w:hint="eastAsia" w:cs="宋体"/>
              </w:rPr>
              <w:t>最高学历</w:t>
            </w:r>
          </w:p>
        </w:tc>
        <w:tc>
          <w:tcPr>
            <w:tcW w:w="168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本科</w:t>
            </w:r>
          </w:p>
        </w:tc>
        <w:tc>
          <w:tcPr>
            <w:tcW w:w="230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  <w:r>
              <w:rPr>
                <w:rFonts w:hint="eastAsia" w:cs="宋体"/>
              </w:rPr>
              <w:t>学士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68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230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</w:p>
        </w:tc>
        <w:tc>
          <w:tcPr>
            <w:tcW w:w="7626" w:type="dxa"/>
            <w:gridSpan w:val="9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jc w:val="center"/>
              <w:textAlignment w:val="auto"/>
            </w:pPr>
            <w:r>
              <w:rPr>
                <w:rFonts w:hint="eastAsia" w:cs="宋体"/>
              </w:rPr>
              <w:t>任　教　课　程</w:t>
            </w: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18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57" w:leftChars="-27" w:right="-53" w:rightChars="-25"/>
              <w:jc w:val="center"/>
              <w:textAlignment w:val="auto"/>
            </w:pPr>
            <w:r>
              <w:rPr>
                <w:rFonts w:hint="eastAsia" w:cs="宋体"/>
              </w:rPr>
              <w:t>现从事专业</w:t>
            </w:r>
          </w:p>
        </w:tc>
        <w:tc>
          <w:tcPr>
            <w:tcW w:w="168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音乐教育、学前教育</w:t>
            </w:r>
          </w:p>
        </w:tc>
        <w:tc>
          <w:tcPr>
            <w:tcW w:w="230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  <w:r>
              <w:rPr>
                <w:rFonts w:hint="eastAsia" w:cs="宋体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63" w:leftChars="-30" w:right="-73" w:rightChars="-35"/>
              <w:jc w:val="center"/>
              <w:textAlignment w:val="auto"/>
            </w:pPr>
            <w:r>
              <w:rPr>
                <w:rFonts w:hint="eastAsia" w:cs="宋体"/>
              </w:rPr>
              <w:t>否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7626" w:type="dxa"/>
            <w:gridSpan w:val="9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68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230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7626" w:type="dxa"/>
            <w:gridSpan w:val="9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01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left"/>
              <w:textAlignment w:val="auto"/>
            </w:pPr>
            <w:r>
              <w:rPr>
                <w:rFonts w:hint="eastAsia" w:ascii="宋体" w:hAnsi="宋体" w:cs="宋体"/>
                <w:kern w:val="0"/>
              </w:rPr>
              <w:t>《中外学前教育史》《音乐欣赏与民歌选唱》《普通话》《播音学概论》《酒品与饮料》</w:t>
            </w: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532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28" w:leftChars="-51" w:right="-107" w:rightChars="-51" w:hanging="79" w:hangingChars="38"/>
              <w:jc w:val="center"/>
              <w:textAlignment w:val="auto"/>
            </w:pPr>
            <w:r>
              <w:rPr>
                <w:rFonts w:hint="eastAsia" w:cs="宋体"/>
              </w:rPr>
              <w:t>毕业学校及专业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left="-28" w:leftChars="-51" w:right="-107" w:rightChars="-51" w:hanging="79" w:hangingChars="38"/>
              <w:jc w:val="center"/>
              <w:textAlignment w:val="auto"/>
            </w:pPr>
            <w:r>
              <w:rPr>
                <w:rFonts w:hint="eastAsia" w:cs="宋体"/>
              </w:rPr>
              <w:t>毕业时间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7626" w:type="dxa"/>
            <w:gridSpan w:val="9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532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right="-107" w:rightChars="-51"/>
              <w:textAlignment w:val="auto"/>
            </w:pPr>
            <w:r>
              <w:rPr>
                <w:rFonts w:hint="eastAsia" w:cs="宋体"/>
              </w:rPr>
              <w:t>湖南师范大学音乐教育专业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right="-107" w:rightChars="-51"/>
              <w:textAlignment w:val="auto"/>
            </w:pPr>
            <w:r>
              <w:t>2001.6.30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4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7626" w:type="dxa"/>
            <w:gridSpan w:val="9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</w:pPr>
          </w:p>
        </w:tc>
        <w:tc>
          <w:tcPr>
            <w:tcW w:w="124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</w:pPr>
            <w:r>
              <w:rPr>
                <w:rFonts w:hint="eastAsia" w:cs="宋体"/>
              </w:rPr>
              <w:t>近五年年度考核情况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科</w:t>
            </w: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研</w:t>
            </w: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工</w:t>
            </w: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作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主要论著或论文（标题、刊物名称、发表时间、作者排名、代表作）</w:t>
            </w:r>
          </w:p>
        </w:tc>
        <w:tc>
          <w:tcPr>
            <w:tcW w:w="2430" w:type="dxa"/>
            <w:gridSpan w:val="3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论文总数</w:t>
            </w:r>
          </w:p>
        </w:tc>
        <w:tc>
          <w:tcPr>
            <w:tcW w:w="1037" w:type="dxa"/>
            <w:vAlign w:val="center"/>
          </w:tcPr>
          <w:p>
            <w:pPr>
              <w:spacing w:line="280" w:lineRule="exact"/>
              <w:jc w:val="center"/>
            </w:pPr>
            <w:r>
              <w:t>6</w:t>
            </w:r>
          </w:p>
        </w:tc>
        <w:tc>
          <w:tcPr>
            <w:tcW w:w="6858" w:type="dxa"/>
            <w:gridSpan w:val="8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专（译）著、国家级规划教材、省级规划教材数</w:t>
            </w:r>
          </w:p>
        </w:tc>
        <w:tc>
          <w:tcPr>
            <w:tcW w:w="2077" w:type="dxa"/>
            <w:gridSpan w:val="3"/>
            <w:tcBorders>
              <w:top w:val="nil"/>
            </w:tcBorders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restart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科研部门审核意见（盖章）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 w:cs="宋体"/>
              </w:rPr>
              <w:t>科研部门审核人签名：</w:t>
            </w:r>
          </w:p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</w:pPr>
          </w:p>
        </w:tc>
        <w:tc>
          <w:tcPr>
            <w:tcW w:w="12402" w:type="dxa"/>
            <w:gridSpan w:val="15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t>1</w:t>
            </w:r>
            <w:r>
              <w:rPr>
                <w:rFonts w:hint="eastAsia" w:cs="宋体"/>
              </w:rPr>
              <w:t>、论文“清末民初学校音乐课程设置政策研究”发表于《中国音乐学》（</w:t>
            </w:r>
            <w:r>
              <w:rPr>
                <w:rFonts w:hint="eastAsia" w:cs="宋体"/>
                <w:kern w:val="0"/>
                <w:lang w:val="en-US" w:eastAsia="zh-CN"/>
              </w:rPr>
              <w:t>校定B类期刊、</w:t>
            </w:r>
            <w:r>
              <w:t>CSSCI</w:t>
            </w:r>
            <w:r>
              <w:rPr>
                <w:rFonts w:hint="eastAsia" w:cs="宋体"/>
              </w:rPr>
              <w:t>来源期刊）</w:t>
            </w:r>
            <w:r>
              <w:t>2015</w:t>
            </w:r>
            <w:r>
              <w:rPr>
                <w:rFonts w:hint="eastAsia" w:cs="宋体"/>
              </w:rPr>
              <w:t>年第</w:t>
            </w:r>
            <w:r>
              <w:t>2</w:t>
            </w:r>
            <w:r>
              <w:rPr>
                <w:rFonts w:hint="eastAsia" w:cs="宋体"/>
              </w:rPr>
              <w:t>期（第一作者，代表作一）；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t>2</w:t>
            </w:r>
            <w:r>
              <w:rPr>
                <w:rFonts w:hint="eastAsia" w:cs="宋体"/>
              </w:rPr>
              <w:t>、论文“音乐体验教学：内涵、价值与路径选择”发表于《湖南师范大学教育科学学报》（</w:t>
            </w:r>
            <w:r>
              <w:t>CSSCI</w:t>
            </w:r>
            <w:r>
              <w:rPr>
                <w:rFonts w:hint="eastAsia" w:cs="宋体"/>
              </w:rPr>
              <w:t>来源期刊）</w:t>
            </w:r>
            <w:r>
              <w:t>2015</w:t>
            </w:r>
            <w:r>
              <w:rPr>
                <w:rFonts w:hint="eastAsia" w:cs="宋体"/>
              </w:rPr>
              <w:t>年第</w:t>
            </w:r>
            <w:r>
              <w:t>1</w:t>
            </w:r>
            <w:r>
              <w:rPr>
                <w:rFonts w:hint="eastAsia" w:cs="宋体"/>
              </w:rPr>
              <w:t>期（独著，代表作二）；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cs="宋体"/>
              </w:rPr>
              <w:t>、论文“立意、践行、转型：清末民初学前教育体系之变迁”发表于《湖南科技大学学报</w:t>
            </w:r>
            <w:r>
              <w:rPr>
                <w:rFonts w:hint="eastAsia" w:cs="宋体"/>
                <w:lang w:eastAsia="zh-CN"/>
              </w:rPr>
              <w:t>（</w:t>
            </w:r>
            <w:r>
              <w:rPr>
                <w:rFonts w:hint="eastAsia" w:cs="宋体"/>
                <w:lang w:val="en-US" w:eastAsia="zh-CN"/>
              </w:rPr>
              <w:t>社会科学版</w:t>
            </w:r>
            <w:r>
              <w:rPr>
                <w:rFonts w:hint="eastAsia" w:cs="宋体"/>
                <w:lang w:eastAsia="zh-CN"/>
              </w:rPr>
              <w:t>）</w:t>
            </w:r>
            <w:r>
              <w:rPr>
                <w:rFonts w:hint="eastAsia" w:cs="宋体"/>
              </w:rPr>
              <w:t>》（</w:t>
            </w:r>
            <w:r>
              <w:t>CSSCI</w:t>
            </w:r>
            <w:r>
              <w:rPr>
                <w:rFonts w:hint="eastAsia" w:cs="宋体"/>
              </w:rPr>
              <w:t>来源期刊）</w:t>
            </w:r>
            <w:r>
              <w:t>2017</w:t>
            </w:r>
            <w:r>
              <w:rPr>
                <w:rFonts w:hint="eastAsia" w:cs="宋体"/>
              </w:rPr>
              <w:t>年第</w:t>
            </w:r>
            <w:r>
              <w:t>4</w:t>
            </w:r>
            <w:r>
              <w:rPr>
                <w:rFonts w:hint="eastAsia" w:cs="宋体"/>
              </w:rPr>
              <w:t>期（第一作者），人大复印报刊资料《幼儿教育导读（教育科学）》</w:t>
            </w:r>
            <w:r>
              <w:t>2018</w:t>
            </w:r>
            <w:r>
              <w:rPr>
                <w:rFonts w:hint="eastAsia" w:cs="宋体"/>
              </w:rPr>
              <w:t>年第</w:t>
            </w:r>
            <w:r>
              <w:t>2</w:t>
            </w:r>
            <w:r>
              <w:rPr>
                <w:rFonts w:hint="eastAsia" w:cs="宋体"/>
              </w:rPr>
              <w:t>期全文转载；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t>4</w:t>
            </w:r>
            <w:r>
              <w:rPr>
                <w:rFonts w:hint="eastAsia" w:cs="宋体"/>
              </w:rPr>
              <w:t>、论文“理念变迁与实践拓展：清末民初学前教育课程设置政策研究”发表于《湖南师范大学教育科学学报》（</w:t>
            </w:r>
            <w:r>
              <w:t>CSSCI</w:t>
            </w:r>
            <w:r>
              <w:rPr>
                <w:rFonts w:hint="eastAsia" w:cs="宋体"/>
              </w:rPr>
              <w:t>来源期刊）</w:t>
            </w:r>
            <w:r>
              <w:t>2016</w:t>
            </w:r>
            <w:r>
              <w:rPr>
                <w:rFonts w:hint="eastAsia" w:cs="宋体"/>
              </w:rPr>
              <w:t>年第</w:t>
            </w:r>
            <w:r>
              <w:t>2</w:t>
            </w:r>
            <w:r>
              <w:rPr>
                <w:rFonts w:hint="eastAsia" w:cs="宋体"/>
              </w:rPr>
              <w:t>期（独著）</w:t>
            </w:r>
            <w:r>
              <w:rPr>
                <w:rFonts w:hint="eastAsia" w:cs="宋体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 w:cs="宋体"/>
                <w:lang w:val="en-US" w:eastAsia="zh-CN"/>
              </w:rPr>
              <w:t>5</w:t>
            </w:r>
            <w:r>
              <w:rPr>
                <w:rFonts w:hint="eastAsia" w:cs="宋体"/>
              </w:rPr>
              <w:t>、论文“清末民初女子教育与女子高等教育之变迁”发表于《湖南师范大学教育科学学报》（</w:t>
            </w:r>
            <w:r>
              <w:t>CSSCI</w:t>
            </w:r>
            <w:r>
              <w:rPr>
                <w:rFonts w:hint="eastAsia" w:cs="宋体"/>
              </w:rPr>
              <w:t>来源期刊扩展版）</w:t>
            </w:r>
            <w:r>
              <w:t>2013</w:t>
            </w:r>
            <w:r>
              <w:rPr>
                <w:rFonts w:hint="eastAsia" w:cs="宋体"/>
              </w:rPr>
              <w:t>年第</w:t>
            </w:r>
            <w:r>
              <w:t>6</w:t>
            </w:r>
            <w:r>
              <w:rPr>
                <w:rFonts w:hint="eastAsia" w:cs="宋体"/>
              </w:rPr>
              <w:t>期（独著）；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t>6</w:t>
            </w:r>
            <w:r>
              <w:rPr>
                <w:rFonts w:hint="eastAsia" w:cs="宋体"/>
              </w:rPr>
              <w:t>、论文“大学毕业生择业观研究”发表于《教育评论》（</w:t>
            </w:r>
            <w:r>
              <w:t>CSSCI</w:t>
            </w:r>
            <w:r>
              <w:rPr>
                <w:rFonts w:hint="eastAsia" w:cs="宋体"/>
              </w:rPr>
              <w:t>来源期刊扩展版）</w:t>
            </w:r>
            <w:r>
              <w:t>2011</w:t>
            </w:r>
            <w:r>
              <w:rPr>
                <w:rFonts w:hint="eastAsia" w:cs="宋体"/>
              </w:rPr>
              <w:t>年第</w:t>
            </w:r>
            <w:r>
              <w:t>5</w:t>
            </w:r>
            <w:r>
              <w:rPr>
                <w:rFonts w:hint="eastAsia" w:cs="宋体"/>
              </w:rPr>
              <w:t>期（独著）。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</w:tcPr>
          <w:p>
            <w:pPr>
              <w:rPr>
                <w:rFonts w:ascii="宋体"/>
              </w:rPr>
            </w:pPr>
            <w:r>
              <w:rPr>
                <w:rFonts w:ascii="宋体" w:hAnsi="宋体" w:cs="宋体"/>
              </w:rPr>
              <w:t>2014</w:t>
            </w:r>
            <w:r>
              <w:rPr>
                <w:rFonts w:hint="eastAsia" w:ascii="宋体" w:hAnsi="宋体" w:cs="宋体"/>
              </w:rPr>
              <w:t>年度</w:t>
            </w:r>
          </w:p>
        </w:tc>
        <w:tc>
          <w:tcPr>
            <w:tcW w:w="1355" w:type="dxa"/>
            <w:vAlign w:val="center"/>
          </w:tcPr>
          <w:p>
            <w:pPr>
              <w:spacing w:line="280" w:lineRule="exact"/>
              <w:jc w:val="center"/>
            </w:pPr>
            <w:r>
              <w:t>2015</w:t>
            </w:r>
            <w:r>
              <w:rPr>
                <w:rFonts w:hint="eastAsia" w:cs="宋体"/>
              </w:rPr>
              <w:t>年度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t>2016</w:t>
            </w:r>
            <w:r>
              <w:rPr>
                <w:rFonts w:hint="eastAsia" w:cs="宋体"/>
              </w:rPr>
              <w:t>年度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spacing w:line="280" w:lineRule="exact"/>
              <w:jc w:val="center"/>
            </w:pPr>
            <w:r>
              <w:t>2017</w:t>
            </w:r>
            <w:r>
              <w:rPr>
                <w:rFonts w:hint="eastAsia" w:cs="宋体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spacing w:line="280" w:lineRule="exact"/>
              <w:jc w:val="center"/>
            </w:pPr>
            <w:r>
              <w:t>2018</w:t>
            </w:r>
            <w:r>
              <w:rPr>
                <w:rFonts w:hint="eastAsia" w:cs="宋体"/>
              </w:rPr>
              <w:t>年度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02" w:type="dxa"/>
            <w:gridSpan w:val="15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</w:pPr>
            <w:r>
              <w:rPr>
                <w:rFonts w:hint="eastAsia" w:cs="宋体"/>
                <w:sz w:val="24"/>
                <w:szCs w:val="24"/>
              </w:rPr>
              <w:t>合格</w:t>
            </w:r>
          </w:p>
        </w:tc>
        <w:tc>
          <w:tcPr>
            <w:tcW w:w="1355" w:type="dxa"/>
            <w:vAlign w:val="center"/>
          </w:tcPr>
          <w:p>
            <w:pPr>
              <w:widowControl/>
              <w:spacing w:line="280" w:lineRule="exact"/>
              <w:jc w:val="center"/>
            </w:pPr>
            <w:r>
              <w:rPr>
                <w:rFonts w:hint="eastAsia" w:cs="宋体"/>
                <w:sz w:val="24"/>
                <w:szCs w:val="24"/>
              </w:rPr>
              <w:t>合格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</w:pPr>
            <w:r>
              <w:rPr>
                <w:rFonts w:hint="eastAsia" w:cs="宋体"/>
                <w:sz w:val="24"/>
                <w:szCs w:val="24"/>
              </w:rPr>
              <w:t>合格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</w:pPr>
            <w:r>
              <w:rPr>
                <w:rFonts w:hint="eastAsia" w:cs="宋体"/>
                <w:sz w:val="24"/>
                <w:szCs w:val="24"/>
              </w:rPr>
              <w:t>合格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</w:pPr>
            <w:r>
              <w:rPr>
                <w:rFonts w:hint="eastAsia" w:cs="宋体"/>
                <w:sz w:val="24"/>
                <w:szCs w:val="24"/>
              </w:rPr>
              <w:t>合格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2402" w:type="dxa"/>
            <w:gridSpan w:val="15"/>
            <w:vMerge w:val="continue"/>
          </w:tcPr>
          <w:p>
            <w:pPr>
              <w:spacing w:line="280" w:lineRule="exact"/>
            </w:pPr>
          </w:p>
        </w:tc>
        <w:tc>
          <w:tcPr>
            <w:tcW w:w="1241" w:type="dxa"/>
            <w:vMerge w:val="continue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spacing w:line="280" w:lineRule="exact"/>
              <w:ind w:firstLine="1050" w:firstLineChars="500"/>
            </w:pPr>
            <w:r>
              <w:rPr>
                <w:rFonts w:hint="eastAsia" w:cs="宋体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2402" w:type="dxa"/>
            <w:gridSpan w:val="15"/>
            <w:vMerge w:val="continue"/>
          </w:tcPr>
          <w:p>
            <w:pPr>
              <w:spacing w:line="280" w:lineRule="exact"/>
            </w:pPr>
          </w:p>
        </w:tc>
        <w:tc>
          <w:tcPr>
            <w:tcW w:w="1241" w:type="dxa"/>
            <w:vMerge w:val="continue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1、工作经历：2001年7月至今先后任湖南女子学院旅游系助教、讲师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任现职以来继续教育情况：</w:t>
            </w:r>
          </w:p>
          <w:p>
            <w:pPr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继续教育合格证明编号：湘</w:t>
            </w:r>
            <w:r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J020160711036</w:t>
            </w:r>
          </w:p>
          <w:p>
            <w:pPr>
              <w:spacing w:line="280" w:lineRule="exact"/>
              <w:rPr>
                <w:rFonts w:hint="eastAsia" w:cs="宋体"/>
                <w:b w:val="0"/>
                <w:bCs w:val="0"/>
                <w:sz w:val="21"/>
                <w:szCs w:val="21"/>
              </w:rPr>
            </w:pPr>
          </w:p>
          <w:p>
            <w:pPr>
              <w:spacing w:line="280" w:lineRule="exact"/>
              <w:rPr>
                <w:rFonts w:hint="eastAsia" w:cs="宋体"/>
              </w:rPr>
            </w:pPr>
          </w:p>
          <w:p>
            <w:pPr>
              <w:spacing w:line="280" w:lineRule="exact"/>
              <w:rPr>
                <w:rFonts w:hint="eastAsia" w:cs="宋体"/>
              </w:rPr>
            </w:pPr>
          </w:p>
          <w:p>
            <w:pPr>
              <w:spacing w:line="280" w:lineRule="exact"/>
              <w:rPr>
                <w:rFonts w:hint="eastAsia" w:cs="宋体"/>
              </w:rPr>
            </w:pPr>
          </w:p>
          <w:p>
            <w:pPr>
              <w:spacing w:line="280" w:lineRule="exact"/>
              <w:rPr>
                <w:rFonts w:hint="eastAsia" w:cs="宋体"/>
              </w:rPr>
            </w:pPr>
          </w:p>
          <w:p>
            <w:pPr>
              <w:spacing w:line="280" w:lineRule="exact"/>
              <w:rPr>
                <w:rFonts w:hint="eastAsia" w:cs="宋体"/>
              </w:rPr>
            </w:pPr>
          </w:p>
          <w:p>
            <w:pPr>
              <w:spacing w:line="280" w:lineRule="exact"/>
              <w:rPr>
                <w:rFonts w:hint="eastAsia" w:cs="宋体"/>
              </w:rPr>
            </w:pPr>
          </w:p>
          <w:p>
            <w:pPr>
              <w:spacing w:line="280" w:lineRule="exact"/>
            </w:pPr>
            <w:r>
              <w:rPr>
                <w:rFonts w:hint="eastAsia" w:cs="宋体"/>
              </w:rPr>
              <w:t>审核人签名：</w:t>
            </w:r>
            <w:r>
              <w:t xml:space="preserve">         </w:t>
            </w:r>
            <w:r>
              <w:rPr>
                <w:rFonts w:hint="eastAsia" w:cs="宋体"/>
              </w:rPr>
              <w:t>人事部门盖章：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2402" w:type="dxa"/>
            <w:gridSpan w:val="15"/>
            <w:vMerge w:val="continue"/>
          </w:tcPr>
          <w:p>
            <w:pPr>
              <w:spacing w:line="280" w:lineRule="exact"/>
            </w:pPr>
          </w:p>
        </w:tc>
        <w:tc>
          <w:tcPr>
            <w:tcW w:w="1241" w:type="dxa"/>
            <w:vMerge w:val="continue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776" w:type="dxa"/>
            <w:gridSpan w:val="9"/>
            <w:vMerge w:val="continue"/>
          </w:tcPr>
          <w:p/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承担或参</w:t>
            </w:r>
          </w:p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spacing w:line="280" w:lineRule="exact"/>
              <w:ind w:left="-85" w:right="-69" w:rightChars="-33"/>
              <w:jc w:val="center"/>
            </w:pPr>
            <w:r>
              <w:rPr>
                <w:rFonts w:hint="eastAsia" w:cs="宋体"/>
              </w:rPr>
              <w:t>主持研究项目数</w:t>
            </w:r>
          </w:p>
        </w:tc>
        <w:tc>
          <w:tcPr>
            <w:tcW w:w="1596" w:type="dxa"/>
            <w:gridSpan w:val="2"/>
            <w:vAlign w:val="center"/>
          </w:tcPr>
          <w:p>
            <w:pPr>
              <w:spacing w:line="280" w:lineRule="exact"/>
              <w:ind w:left="180"/>
              <w:jc w:val="center"/>
            </w:pPr>
            <w:r>
              <w:t>6</w:t>
            </w:r>
          </w:p>
        </w:tc>
        <w:tc>
          <w:tcPr>
            <w:tcW w:w="1301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参与研究</w:t>
            </w:r>
          </w:p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项</w:t>
            </w:r>
            <w:r>
              <w:t xml:space="preserve"> </w:t>
            </w:r>
            <w:r>
              <w:rPr>
                <w:rFonts w:hint="eastAsia" w:cs="宋体"/>
              </w:rPr>
              <w:t>目</w:t>
            </w:r>
            <w:r>
              <w:t xml:space="preserve"> </w:t>
            </w:r>
            <w:r>
              <w:rPr>
                <w:rFonts w:hint="eastAsia" w:cs="宋体"/>
              </w:rPr>
              <w:t>数</w:t>
            </w:r>
          </w:p>
        </w:tc>
        <w:tc>
          <w:tcPr>
            <w:tcW w:w="714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cs="宋体"/>
              </w:rPr>
              <w:t>科研经费</w:t>
            </w:r>
          </w:p>
        </w:tc>
        <w:tc>
          <w:tcPr>
            <w:tcW w:w="1344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5.0万元</w:t>
            </w:r>
          </w:p>
        </w:tc>
        <w:tc>
          <w:tcPr>
            <w:tcW w:w="1658" w:type="dxa"/>
            <w:gridSpan w:val="2"/>
            <w:vAlign w:val="center"/>
          </w:tcPr>
          <w:p>
            <w:pPr>
              <w:spacing w:line="280" w:lineRule="exact"/>
            </w:pPr>
            <w:r>
              <w:rPr>
                <w:rFonts w:hint="eastAsia" w:cs="宋体"/>
              </w:rPr>
              <w:t>技术开发或社会服务项目数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spacing w:line="280" w:lineRule="exact"/>
            </w:pPr>
          </w:p>
        </w:tc>
        <w:tc>
          <w:tcPr>
            <w:tcW w:w="879" w:type="dxa"/>
            <w:vAlign w:val="center"/>
          </w:tcPr>
          <w:p>
            <w:pPr>
              <w:spacing w:line="280" w:lineRule="exact"/>
              <w:ind w:left="-69" w:leftChars="-33" w:right="-82" w:rightChars="-39"/>
            </w:pPr>
            <w:r>
              <w:rPr>
                <w:rFonts w:hint="eastAsia" w:cs="宋体"/>
              </w:rPr>
              <w:t>专利数</w:t>
            </w:r>
          </w:p>
        </w:tc>
        <w:tc>
          <w:tcPr>
            <w:tcW w:w="750" w:type="dxa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7" w:hRule="atLeast"/>
          <w:jc w:val="center"/>
        </w:trPr>
        <w:tc>
          <w:tcPr>
            <w:tcW w:w="6776" w:type="dxa"/>
            <w:gridSpan w:val="9"/>
            <w:vMerge w:val="continue"/>
          </w:tcPr>
          <w:p/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2402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主持课题：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t>1</w:t>
            </w:r>
            <w:r>
              <w:rPr>
                <w:rFonts w:hint="eastAsia" w:cs="宋体"/>
              </w:rPr>
              <w:t>、主持</w:t>
            </w:r>
            <w:r>
              <w:t>2015</w:t>
            </w:r>
            <w:r>
              <w:rPr>
                <w:rFonts w:hint="eastAsia" w:cs="宋体"/>
              </w:rPr>
              <w:t>年度湖南省哲学社会科学基金项目《清末民国（</w:t>
            </w:r>
            <w:r>
              <w:t>1840-1937</w:t>
            </w:r>
            <w:r>
              <w:rPr>
                <w:rFonts w:hint="eastAsia" w:cs="宋体"/>
              </w:rPr>
              <w:t>）学校音乐课程设置政策研究》，湖南省社科规划办审批，（课题批准号：</w:t>
            </w:r>
            <w:r>
              <w:t>15YBA212</w:t>
            </w:r>
            <w:r>
              <w:rPr>
                <w:rFonts w:hint="eastAsia" w:cs="宋体"/>
              </w:rPr>
              <w:t>）（省级课题）；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t>2</w:t>
            </w:r>
            <w:r>
              <w:rPr>
                <w:rFonts w:hint="eastAsia" w:cs="宋体"/>
              </w:rPr>
              <w:t>、主持湖南省教育科学“十三五”规划</w:t>
            </w:r>
            <w:r>
              <w:t>2016</w:t>
            </w:r>
            <w:r>
              <w:rPr>
                <w:rFonts w:hint="eastAsia" w:cs="宋体"/>
              </w:rPr>
              <w:t>年度学前教育研究专项课题《清末民初学前师范教育政策研究》，湖南省教科规划办审批，（课题批准号：</w:t>
            </w:r>
            <w:r>
              <w:t>XJK16BXQ01</w:t>
            </w:r>
            <w:r>
              <w:rPr>
                <w:rFonts w:hint="eastAsia" w:cs="宋体"/>
              </w:rPr>
              <w:t>）（省级课题）；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Calibri" w:hAnsi="Calibri" w:cs="Calibri"/>
              </w:rPr>
            </w:pPr>
            <w:r>
              <w:t>3</w:t>
            </w:r>
            <w:r>
              <w:rPr>
                <w:rFonts w:hint="eastAsia" w:cs="宋体"/>
              </w:rPr>
              <w:t>、</w:t>
            </w:r>
            <w:r>
              <w:rPr>
                <w:rFonts w:hint="eastAsia" w:ascii="宋体" w:hAnsi="宋体" w:cs="宋体"/>
              </w:rPr>
              <w:t>主持湖南省教育科学“十一五”规划青年专项资助课题《中西方女子高等教育比较研究》，湖南省教科规划办</w:t>
            </w:r>
            <w:r>
              <w:rPr>
                <w:rFonts w:hint="eastAsia" w:ascii="宋体" w:hAnsi="宋体" w:cs="宋体"/>
                <w:lang w:val="en-US" w:eastAsia="zh-CN"/>
              </w:rPr>
              <w:t>审批</w:t>
            </w:r>
            <w:r>
              <w:rPr>
                <w:rFonts w:hint="eastAsia" w:ascii="宋体" w:hAnsi="宋体" w:cs="宋体"/>
              </w:rPr>
              <w:t>，（课题批准号：</w:t>
            </w:r>
            <w:r>
              <w:rPr>
                <w:rFonts w:ascii="宋体" w:hAnsi="宋体" w:cs="宋体"/>
              </w:rPr>
              <w:t>XJKO11QJB002</w:t>
            </w:r>
            <w:r>
              <w:rPr>
                <w:rFonts w:hint="eastAsia" w:ascii="宋体" w:hAnsi="宋体" w:cs="宋体"/>
              </w:rPr>
              <w:t>）（省级课题）；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hint="eastAsia" w:ascii="宋体" w:hAnsi="宋体" w:cs="宋体"/>
              </w:rPr>
              <w:t>、主持</w:t>
            </w:r>
            <w:r>
              <w:rPr>
                <w:rFonts w:ascii="宋体" w:hAnsi="宋体" w:cs="宋体"/>
              </w:rPr>
              <w:t>2014</w:t>
            </w:r>
            <w:r>
              <w:rPr>
                <w:rFonts w:hint="eastAsia" w:ascii="宋体" w:hAnsi="宋体" w:cs="宋体"/>
              </w:rPr>
              <w:t>年湖南省普通高等学校教学改革研究项目《音乐课程中的体验教学研究》，湖南省教育厅审批，（批准文号：湘教通</w:t>
            </w:r>
            <w:r>
              <w:rPr>
                <w:rFonts w:ascii="宋体" w:hAnsi="宋体" w:cs="宋体"/>
              </w:rPr>
              <w:t>[2014]247</w:t>
            </w:r>
            <w:r>
              <w:rPr>
                <w:rFonts w:hint="eastAsia" w:ascii="宋体" w:hAnsi="宋体" w:cs="宋体"/>
              </w:rPr>
              <w:t>号）（省级课题）；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、</w:t>
            </w:r>
            <w:r>
              <w:rPr>
                <w:rFonts w:hint="eastAsia" w:cs="宋体"/>
              </w:rPr>
              <w:t>主</w:t>
            </w:r>
            <w:r>
              <w:rPr>
                <w:rFonts w:hint="eastAsia" w:cs="宋体"/>
                <w:spacing w:val="-6"/>
              </w:rPr>
              <w:t>持湖南省教育厅科学研究项目《中国近代学前音乐课程设置政策研究》，湖南省教育厅审批，（课题批准号</w:t>
            </w:r>
            <w:r>
              <w:rPr>
                <w:spacing w:val="-6"/>
              </w:rPr>
              <w:t>16C0806</w:t>
            </w:r>
            <w:r>
              <w:rPr>
                <w:rFonts w:hint="eastAsia" w:cs="宋体"/>
                <w:spacing w:val="-6"/>
              </w:rPr>
              <w:t>）（厅级课题）；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、湖南省教学质量与教学改革工程项目</w:t>
            </w:r>
            <w:r>
              <w:rPr>
                <w:rFonts w:ascii="宋体" w:hAnsi="宋体" w:cs="宋体"/>
              </w:rPr>
              <w:t>2015</w:t>
            </w:r>
            <w:r>
              <w:rPr>
                <w:rFonts w:hint="eastAsia" w:ascii="宋体" w:hAnsi="宋体" w:cs="宋体"/>
              </w:rPr>
              <w:t>年度湖南省大学生研究性学习和创新性实验计划项目《长沙市导游队伍音乐素养的调查研究》，湖南省教育厅审批，（批准文号：湘教通</w:t>
            </w:r>
            <w:r>
              <w:rPr>
                <w:rFonts w:ascii="宋体" w:hAnsi="宋体" w:cs="宋体"/>
              </w:rPr>
              <w:t>[2015]269</w:t>
            </w:r>
            <w:r>
              <w:rPr>
                <w:rFonts w:hint="eastAsia" w:ascii="宋体" w:hAnsi="宋体" w:cs="宋体"/>
              </w:rPr>
              <w:t>号）。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参与课题：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hint="eastAsia" w:ascii="宋体" w:hAnsi="宋体" w:cs="宋体"/>
              </w:rPr>
              <w:t>、参与全国教育科学“十一五”规划教育部重点课题《研究生就业市场壁垒及其对策研究》（课题批准号：</w:t>
            </w:r>
            <w:r>
              <w:rPr>
                <w:rFonts w:ascii="宋体" w:hAnsi="宋体" w:cs="宋体"/>
              </w:rPr>
              <w:t>DIA080133</w:t>
            </w:r>
            <w:r>
              <w:rPr>
                <w:rFonts w:hint="eastAsia" w:ascii="宋体" w:hAnsi="宋体" w:cs="宋体"/>
              </w:rPr>
              <w:t>）（部级课题）；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  <w:r>
              <w:rPr>
                <w:rFonts w:ascii="宋体" w:hAnsi="宋体" w:cs="宋体"/>
              </w:rPr>
              <w:t>2</w:t>
            </w:r>
            <w:r>
              <w:rPr>
                <w:rFonts w:hint="eastAsia" w:ascii="宋体" w:hAnsi="宋体" w:cs="宋体"/>
              </w:rPr>
              <w:t>、参与</w:t>
            </w:r>
            <w:r>
              <w:rPr>
                <w:rFonts w:ascii="宋体" w:hAnsi="宋体" w:cs="宋体"/>
              </w:rPr>
              <w:t>2008</w:t>
            </w:r>
            <w:r>
              <w:rPr>
                <w:rFonts w:hint="eastAsia" w:ascii="宋体" w:hAnsi="宋体" w:cs="宋体"/>
              </w:rPr>
              <w:t>年湖南省高校思想政治教育研究课题《当代大学生“学校责任感”教育研究》（批准文号：湘教工委通</w:t>
            </w:r>
            <w:r>
              <w:rPr>
                <w:rFonts w:ascii="宋体" w:hAnsi="宋体" w:cs="宋体"/>
              </w:rPr>
              <w:t>[2008]37</w:t>
            </w:r>
            <w:r>
              <w:rPr>
                <w:rFonts w:hint="eastAsia" w:ascii="宋体" w:hAnsi="宋体" w:cs="宋体"/>
              </w:rPr>
              <w:t>号）（省级课题）。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191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教育工作业绩</w:t>
            </w:r>
          </w:p>
        </w:tc>
        <w:tc>
          <w:tcPr>
            <w:tcW w:w="12402" w:type="dxa"/>
            <w:gridSpan w:val="15"/>
          </w:tcPr>
          <w:p>
            <w:pPr>
              <w:adjustRightInd w:val="0"/>
              <w:snapToGrid w:val="0"/>
              <w:ind w:firstLine="420" w:firstLineChars="200"/>
              <w:rPr>
                <w:sz w:val="18"/>
                <w:szCs w:val="18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2015</w:t>
            </w:r>
            <w:r>
              <w:rPr>
                <w:rFonts w:ascii="宋体" w:cs="宋体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sz w:val="21"/>
                <w:szCs w:val="21"/>
              </w:rPr>
              <w:t>2016</w:t>
            </w:r>
            <w:r>
              <w:rPr>
                <w:rFonts w:hint="eastAsia" w:ascii="宋体" w:hAnsi="宋体" w:cs="宋体"/>
                <w:sz w:val="21"/>
                <w:szCs w:val="21"/>
              </w:rPr>
              <w:t>学年度担任酒店管理</w:t>
            </w:r>
            <w:r>
              <w:rPr>
                <w:rFonts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班兼职班主任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cs="宋体"/>
                <w:sz w:val="21"/>
                <w:szCs w:val="21"/>
              </w:rPr>
              <w:t>2016</w:t>
            </w:r>
            <w:r>
              <w:rPr>
                <w:rFonts w:ascii="宋体" w:cs="宋体"/>
                <w:sz w:val="21"/>
                <w:szCs w:val="21"/>
              </w:rPr>
              <w:t>-</w:t>
            </w:r>
            <w:r>
              <w:rPr>
                <w:rFonts w:ascii="宋体" w:hAnsi="宋体" w:cs="宋体"/>
                <w:sz w:val="21"/>
                <w:szCs w:val="21"/>
              </w:rPr>
              <w:t>2017</w:t>
            </w:r>
            <w:r>
              <w:rPr>
                <w:rFonts w:hint="eastAsia" w:ascii="宋体" w:hAnsi="宋体" w:cs="宋体"/>
                <w:sz w:val="21"/>
                <w:szCs w:val="21"/>
              </w:rPr>
              <w:t>学年度担任</w:t>
            </w:r>
            <w:r>
              <w:rPr>
                <w:rFonts w:ascii="宋体" w:hAnsi="宋体" w:cs="宋体"/>
                <w:sz w:val="21"/>
                <w:szCs w:val="21"/>
              </w:rPr>
              <w:t>2014</w:t>
            </w:r>
            <w:r>
              <w:rPr>
                <w:rFonts w:hint="eastAsia" w:ascii="宋体" w:hAnsi="宋体" w:cs="宋体"/>
                <w:sz w:val="21"/>
                <w:szCs w:val="21"/>
              </w:rPr>
              <w:t>级酒店管理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班兼职班主任，并被评为优秀班主任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/>
                <w:sz w:val="21"/>
                <w:szCs w:val="21"/>
              </w:rPr>
              <w:t>在担任这些班级的兼职班主任期间，通过开班会、组织各类活动、下寝室等方式深入了解学生，关注她们在思想、学习、生活等各方面的表现，并努力解决她们在实际生活中遇到的困难。</w:t>
            </w:r>
          </w:p>
        </w:tc>
        <w:tc>
          <w:tcPr>
            <w:tcW w:w="1241" w:type="dxa"/>
            <w:vAlign w:val="center"/>
          </w:tcPr>
          <w:p>
            <w:pPr>
              <w:spacing w:line="28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学校主管部门（盖章）审核人签名：</w:t>
            </w: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公示结果：</w:t>
      </w:r>
    </w:p>
    <w:p>
      <w:pPr>
        <w:spacing w:line="360" w:lineRule="exact"/>
        <w:jc w:val="center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单位（公章）：</w:t>
      </w:r>
      <w:r>
        <w:rPr>
          <w:sz w:val="24"/>
          <w:szCs w:val="24"/>
        </w:rPr>
        <w:t xml:space="preserve">                                              </w:t>
      </w:r>
      <w:r>
        <w:rPr>
          <w:rFonts w:hint="eastAsia" w:cs="宋体"/>
          <w:sz w:val="24"/>
          <w:szCs w:val="24"/>
        </w:rPr>
        <w:t>单位审核责任人签名：</w:t>
      </w:r>
      <w:r>
        <w:rPr>
          <w:sz w:val="24"/>
          <w:szCs w:val="24"/>
        </w:rPr>
        <w:t xml:space="preserve">                                                           </w:t>
      </w:r>
      <w:r>
        <w:rPr>
          <w:rFonts w:hint="eastAsia" w:cs="宋体"/>
          <w:sz w:val="24"/>
          <w:szCs w:val="24"/>
        </w:rPr>
        <w:t>填表日期：</w:t>
      </w:r>
      <w:r>
        <w:rPr>
          <w:sz w:val="24"/>
          <w:szCs w:val="24"/>
        </w:rPr>
        <w:t xml:space="preserve">        </w:t>
      </w:r>
      <w:r>
        <w:rPr>
          <w:rFonts w:hint="eastAsia" w:cs="宋体"/>
          <w:sz w:val="24"/>
          <w:szCs w:val="24"/>
        </w:rPr>
        <w:t>年</w:t>
      </w:r>
      <w:r>
        <w:rPr>
          <w:sz w:val="24"/>
          <w:szCs w:val="24"/>
        </w:rPr>
        <w:t xml:space="preserve">    </w:t>
      </w:r>
      <w:r>
        <w:rPr>
          <w:rFonts w:hint="eastAsia" w:cs="宋体"/>
          <w:sz w:val="24"/>
          <w:szCs w:val="24"/>
        </w:rPr>
        <w:t>月</w:t>
      </w:r>
      <w:r>
        <w:rPr>
          <w:sz w:val="24"/>
          <w:szCs w:val="24"/>
        </w:rPr>
        <w:t xml:space="preserve">    </w:t>
      </w:r>
      <w:r>
        <w:rPr>
          <w:rFonts w:hint="eastAsia" w:cs="宋体"/>
          <w:sz w:val="24"/>
          <w:szCs w:val="24"/>
        </w:rPr>
        <w:t>日</w:t>
      </w:r>
    </w:p>
    <w:p>
      <w:pPr>
        <w:spacing w:line="360" w:lineRule="exact"/>
        <w:ind w:firstLine="480" w:firstLineChars="200"/>
        <w:sectPr>
          <w:headerReference r:id="rId3" w:type="default"/>
          <w:footerReference r:id="rId4" w:type="default"/>
          <w:pgSz w:w="23814" w:h="16840" w:orient="landscape"/>
          <w:pgMar w:top="850" w:right="1361" w:bottom="680" w:left="1588" w:header="851" w:footer="567" w:gutter="0"/>
          <w:cols w:space="0" w:num="1"/>
          <w:rtlGutter w:val="0"/>
          <w:docGrid w:linePitch="579" w:charSpace="0"/>
        </w:sectPr>
      </w:pPr>
      <w:r>
        <w:rPr>
          <w:rFonts w:hint="eastAsia" w:cs="宋体"/>
          <w:sz w:val="24"/>
          <w:szCs w:val="24"/>
        </w:rPr>
        <w:t>注：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、表中</w:t>
      </w:r>
      <w:r>
        <w:rPr>
          <w:sz w:val="24"/>
          <w:szCs w:val="24"/>
        </w:rPr>
        <w:t>“</w:t>
      </w:r>
      <w:r>
        <w:rPr>
          <w:rFonts w:hint="eastAsia" w:cs="宋体"/>
          <w:sz w:val="24"/>
          <w:szCs w:val="24"/>
        </w:rPr>
        <w:t>其它教学工作量</w:t>
      </w:r>
      <w:r>
        <w:rPr>
          <w:sz w:val="24"/>
          <w:szCs w:val="24"/>
        </w:rPr>
        <w:t>”</w:t>
      </w:r>
      <w:r>
        <w:rPr>
          <w:rFonts w:hint="eastAsia" w:cs="宋体"/>
          <w:sz w:val="24"/>
          <w:szCs w:val="24"/>
        </w:rPr>
        <w:t>是指出卷、监考、指导毕业生论文等。</w:t>
      </w:r>
      <w:r>
        <w:rPr>
          <w:sz w:val="24"/>
          <w:szCs w:val="24"/>
        </w:rPr>
        <w:t>2</w:t>
      </w:r>
      <w:r>
        <w:rPr>
          <w:rFonts w:hint="eastAsia" w:cs="宋体"/>
          <w:sz w:val="24"/>
          <w:szCs w:val="24"/>
        </w:rPr>
        <w:t>、增刊、论文集、用稿通知、清样、习题集（库）等均不作为申报高级专业技术职务的参评材料</w:t>
      </w:r>
    </w:p>
    <w:p>
      <w:bookmarkStart w:id="0" w:name="_GoBack"/>
      <w:bookmarkEnd w:id="0"/>
    </w:p>
    <w:sectPr>
      <w:headerReference r:id="rId5" w:type="default"/>
      <w:footerReference r:id="rId6" w:type="default"/>
      <w:type w:val="oddPage"/>
      <w:pgSz w:w="11907" w:h="16840"/>
      <w:pgMar w:top="2098" w:right="1531" w:bottom="1985" w:left="1531" w:header="851" w:footer="1134" w:gutter="0"/>
      <w:pgNumType w:start="22"/>
      <w:cols w:space="720" w:num="1"/>
      <w:titlePg/>
      <w:docGrid w:linePitch="606" w:charSpace="-33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sz w:val="24"/>
        <w:szCs w:val="24"/>
      </w:rPr>
    </w:pPr>
    <w:r>
      <w:rPr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24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205320C"/>
    <w:rsid w:val="00001E3A"/>
    <w:rsid w:val="00031E0E"/>
    <w:rsid w:val="000330B9"/>
    <w:rsid w:val="00036FBE"/>
    <w:rsid w:val="000655D5"/>
    <w:rsid w:val="000A4B87"/>
    <w:rsid w:val="000B3463"/>
    <w:rsid w:val="000B5700"/>
    <w:rsid w:val="000C053A"/>
    <w:rsid w:val="000D38A3"/>
    <w:rsid w:val="000D68E3"/>
    <w:rsid w:val="001124AC"/>
    <w:rsid w:val="00121A0F"/>
    <w:rsid w:val="001301BA"/>
    <w:rsid w:val="00133339"/>
    <w:rsid w:val="00192DFE"/>
    <w:rsid w:val="00195230"/>
    <w:rsid w:val="001B2E7F"/>
    <w:rsid w:val="001D19C9"/>
    <w:rsid w:val="001F21EE"/>
    <w:rsid w:val="002100B3"/>
    <w:rsid w:val="00236AE1"/>
    <w:rsid w:val="002507B4"/>
    <w:rsid w:val="002847C4"/>
    <w:rsid w:val="00294089"/>
    <w:rsid w:val="00337F4B"/>
    <w:rsid w:val="003518D8"/>
    <w:rsid w:val="0035586E"/>
    <w:rsid w:val="00365F4E"/>
    <w:rsid w:val="00366289"/>
    <w:rsid w:val="0038090C"/>
    <w:rsid w:val="003B13D9"/>
    <w:rsid w:val="003C4ED0"/>
    <w:rsid w:val="003D1D90"/>
    <w:rsid w:val="003E6710"/>
    <w:rsid w:val="003F19F3"/>
    <w:rsid w:val="003F2ABB"/>
    <w:rsid w:val="00446E1B"/>
    <w:rsid w:val="0046290C"/>
    <w:rsid w:val="0046429E"/>
    <w:rsid w:val="004671F1"/>
    <w:rsid w:val="0048503C"/>
    <w:rsid w:val="004A2432"/>
    <w:rsid w:val="00516D86"/>
    <w:rsid w:val="005208EF"/>
    <w:rsid w:val="00563FF8"/>
    <w:rsid w:val="005650D7"/>
    <w:rsid w:val="00596220"/>
    <w:rsid w:val="005B7146"/>
    <w:rsid w:val="005C6285"/>
    <w:rsid w:val="005D25BA"/>
    <w:rsid w:val="005E5881"/>
    <w:rsid w:val="005F0613"/>
    <w:rsid w:val="00614638"/>
    <w:rsid w:val="0064370A"/>
    <w:rsid w:val="006447F2"/>
    <w:rsid w:val="006763A9"/>
    <w:rsid w:val="006D7A91"/>
    <w:rsid w:val="006E3C95"/>
    <w:rsid w:val="007570CB"/>
    <w:rsid w:val="00767B48"/>
    <w:rsid w:val="007A4B54"/>
    <w:rsid w:val="007E7601"/>
    <w:rsid w:val="00804E3F"/>
    <w:rsid w:val="00812407"/>
    <w:rsid w:val="00834FC1"/>
    <w:rsid w:val="00873C7A"/>
    <w:rsid w:val="008933DC"/>
    <w:rsid w:val="008B4ED4"/>
    <w:rsid w:val="008D79E8"/>
    <w:rsid w:val="00911AA8"/>
    <w:rsid w:val="0097676C"/>
    <w:rsid w:val="009C68F6"/>
    <w:rsid w:val="009C7B2B"/>
    <w:rsid w:val="009D587E"/>
    <w:rsid w:val="00A0669F"/>
    <w:rsid w:val="00A21F56"/>
    <w:rsid w:val="00A5258C"/>
    <w:rsid w:val="00AC5CE1"/>
    <w:rsid w:val="00AC6FA2"/>
    <w:rsid w:val="00AC72CE"/>
    <w:rsid w:val="00B13B5B"/>
    <w:rsid w:val="00B43CB2"/>
    <w:rsid w:val="00B55379"/>
    <w:rsid w:val="00B61539"/>
    <w:rsid w:val="00B71EA7"/>
    <w:rsid w:val="00BB389D"/>
    <w:rsid w:val="00BC222E"/>
    <w:rsid w:val="00C312E7"/>
    <w:rsid w:val="00C55CEE"/>
    <w:rsid w:val="00C86E1E"/>
    <w:rsid w:val="00D311D2"/>
    <w:rsid w:val="00D44362"/>
    <w:rsid w:val="00D55DCE"/>
    <w:rsid w:val="00E06FC6"/>
    <w:rsid w:val="00E1459A"/>
    <w:rsid w:val="00E20619"/>
    <w:rsid w:val="00E218CC"/>
    <w:rsid w:val="00E67CEC"/>
    <w:rsid w:val="00E745A0"/>
    <w:rsid w:val="00E761B3"/>
    <w:rsid w:val="00EA3CDE"/>
    <w:rsid w:val="00F034FA"/>
    <w:rsid w:val="00F23768"/>
    <w:rsid w:val="00F35E19"/>
    <w:rsid w:val="00F8748C"/>
    <w:rsid w:val="00FD6442"/>
    <w:rsid w:val="00FE430E"/>
    <w:rsid w:val="00FF723F"/>
    <w:rsid w:val="04992A5C"/>
    <w:rsid w:val="072C5A49"/>
    <w:rsid w:val="09103955"/>
    <w:rsid w:val="0CFE0D3A"/>
    <w:rsid w:val="0DCE7C0B"/>
    <w:rsid w:val="0EA41698"/>
    <w:rsid w:val="10B90275"/>
    <w:rsid w:val="118B418C"/>
    <w:rsid w:val="1205320C"/>
    <w:rsid w:val="12D85F8B"/>
    <w:rsid w:val="13A77439"/>
    <w:rsid w:val="17A01F29"/>
    <w:rsid w:val="17DF1FBC"/>
    <w:rsid w:val="19837C1E"/>
    <w:rsid w:val="1BBA4E9A"/>
    <w:rsid w:val="1C1D0CE8"/>
    <w:rsid w:val="1D9A60B3"/>
    <w:rsid w:val="1F067F95"/>
    <w:rsid w:val="24CB5DB6"/>
    <w:rsid w:val="25423733"/>
    <w:rsid w:val="2CC53C94"/>
    <w:rsid w:val="2D257F20"/>
    <w:rsid w:val="31075B2F"/>
    <w:rsid w:val="33253920"/>
    <w:rsid w:val="379A6878"/>
    <w:rsid w:val="383B4F7E"/>
    <w:rsid w:val="38942864"/>
    <w:rsid w:val="38B044AF"/>
    <w:rsid w:val="3CD05086"/>
    <w:rsid w:val="3F1F7B1A"/>
    <w:rsid w:val="42AA45FC"/>
    <w:rsid w:val="42F36F06"/>
    <w:rsid w:val="431E1958"/>
    <w:rsid w:val="45AD4E09"/>
    <w:rsid w:val="45C72614"/>
    <w:rsid w:val="47D8435D"/>
    <w:rsid w:val="48883DAD"/>
    <w:rsid w:val="4BB5287C"/>
    <w:rsid w:val="4F6F7BD0"/>
    <w:rsid w:val="4F8122CA"/>
    <w:rsid w:val="51023F54"/>
    <w:rsid w:val="512C5293"/>
    <w:rsid w:val="51A86206"/>
    <w:rsid w:val="52E32460"/>
    <w:rsid w:val="56993850"/>
    <w:rsid w:val="573611B6"/>
    <w:rsid w:val="58561F52"/>
    <w:rsid w:val="5A7728B8"/>
    <w:rsid w:val="5B831CE2"/>
    <w:rsid w:val="5F4121A4"/>
    <w:rsid w:val="63151D2A"/>
    <w:rsid w:val="642679C0"/>
    <w:rsid w:val="64AC3A6D"/>
    <w:rsid w:val="67D15B9B"/>
    <w:rsid w:val="68B21373"/>
    <w:rsid w:val="69BF7E24"/>
    <w:rsid w:val="6F642DBF"/>
    <w:rsid w:val="707A1FF2"/>
    <w:rsid w:val="70A352A8"/>
    <w:rsid w:val="71A86071"/>
    <w:rsid w:val="7CFF36E6"/>
    <w:rsid w:val="7FAA672D"/>
    <w:rsid w:val="7FD9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uiPriority="99" w:name="HTML Preformatted"/>
    <w:lsdException w:qFormat="1" w:unhideWhenUsed="0" w:uiPriority="99" w:semiHidden="0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qFormat/>
    <w:uiPriority w:val="99"/>
    <w:pPr>
      <w:jc w:val="left"/>
    </w:pPr>
  </w:style>
  <w:style w:type="paragraph" w:styleId="3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after="150"/>
      <w:jc w:val="left"/>
    </w:pPr>
    <w:rPr>
      <w:kern w:val="0"/>
      <w:sz w:val="24"/>
      <w:szCs w:val="24"/>
    </w:rPr>
  </w:style>
  <w:style w:type="paragraph" w:styleId="7">
    <w:name w:val="annotation subject"/>
    <w:basedOn w:val="2"/>
    <w:next w:val="2"/>
    <w:link w:val="20"/>
    <w:semiHidden/>
    <w:qFormat/>
    <w:uiPriority w:val="99"/>
    <w:rPr>
      <w:b/>
      <w:bCs/>
    </w:rPr>
  </w:style>
  <w:style w:type="character" w:styleId="10">
    <w:name w:val="Strong"/>
    <w:basedOn w:val="9"/>
    <w:qFormat/>
    <w:uiPriority w:val="99"/>
    <w:rPr>
      <w:b/>
      <w:bCs/>
    </w:rPr>
  </w:style>
  <w:style w:type="character" w:styleId="11">
    <w:name w:val="page number"/>
    <w:basedOn w:val="9"/>
    <w:qFormat/>
    <w:uiPriority w:val="99"/>
  </w:style>
  <w:style w:type="character" w:styleId="12">
    <w:name w:val="FollowedHyperlink"/>
    <w:basedOn w:val="9"/>
    <w:qFormat/>
    <w:uiPriority w:val="99"/>
    <w:rPr>
      <w:color w:val="auto"/>
      <w:u w:val="none"/>
    </w:rPr>
  </w:style>
  <w:style w:type="character" w:styleId="13">
    <w:name w:val="HTML Definition"/>
    <w:basedOn w:val="9"/>
    <w:qFormat/>
    <w:uiPriority w:val="99"/>
    <w:rPr>
      <w:i/>
      <w:iCs/>
    </w:rPr>
  </w:style>
  <w:style w:type="character" w:styleId="14">
    <w:name w:val="Hyperlink"/>
    <w:basedOn w:val="9"/>
    <w:qFormat/>
    <w:uiPriority w:val="99"/>
    <w:rPr>
      <w:color w:val="auto"/>
      <w:u w:val="none"/>
    </w:rPr>
  </w:style>
  <w:style w:type="character" w:styleId="15">
    <w:name w:val="HTML Code"/>
    <w:basedOn w:val="9"/>
    <w:qFormat/>
    <w:uiPriority w:val="99"/>
    <w:rPr>
      <w:rFonts w:ascii="Consolas" w:hAnsi="Consolas" w:eastAsia="Times New Roman" w:cs="Consolas"/>
      <w:color w:val="auto"/>
      <w:sz w:val="21"/>
      <w:szCs w:val="21"/>
      <w:shd w:val="clear" w:color="auto" w:fill="auto"/>
    </w:rPr>
  </w:style>
  <w:style w:type="character" w:styleId="16">
    <w:name w:val="annotation reference"/>
    <w:basedOn w:val="9"/>
    <w:semiHidden/>
    <w:qFormat/>
    <w:uiPriority w:val="99"/>
    <w:rPr>
      <w:sz w:val="21"/>
      <w:szCs w:val="21"/>
    </w:rPr>
  </w:style>
  <w:style w:type="character" w:styleId="17">
    <w:name w:val="HTML Keyboard"/>
    <w:basedOn w:val="9"/>
    <w:qFormat/>
    <w:uiPriority w:val="99"/>
    <w:rPr>
      <w:rFonts w:ascii="Consolas" w:hAnsi="Consolas" w:eastAsia="Times New Roman" w:cs="Consolas"/>
      <w:color w:val="FFFFFF"/>
      <w:sz w:val="21"/>
      <w:szCs w:val="21"/>
      <w:shd w:val="clear" w:color="auto" w:fill="auto"/>
    </w:rPr>
  </w:style>
  <w:style w:type="character" w:styleId="18">
    <w:name w:val="HTML Sample"/>
    <w:basedOn w:val="9"/>
    <w:qFormat/>
    <w:uiPriority w:val="99"/>
    <w:rPr>
      <w:rFonts w:ascii="Consolas" w:hAnsi="Consolas" w:eastAsia="Times New Roman" w:cs="Consolas"/>
      <w:sz w:val="21"/>
      <w:szCs w:val="21"/>
    </w:rPr>
  </w:style>
  <w:style w:type="character" w:customStyle="1" w:styleId="19">
    <w:name w:val="Comment Text Char"/>
    <w:basedOn w:val="9"/>
    <w:link w:val="2"/>
    <w:qFormat/>
    <w:locked/>
    <w:uiPriority w:val="99"/>
    <w:rPr>
      <w:kern w:val="2"/>
      <w:sz w:val="24"/>
      <w:szCs w:val="24"/>
    </w:rPr>
  </w:style>
  <w:style w:type="character" w:customStyle="1" w:styleId="20">
    <w:name w:val="Comment Subject Char"/>
    <w:basedOn w:val="19"/>
    <w:link w:val="7"/>
    <w:qFormat/>
    <w:locked/>
    <w:uiPriority w:val="99"/>
    <w:rPr>
      <w:b/>
      <w:bCs/>
    </w:rPr>
  </w:style>
  <w:style w:type="character" w:customStyle="1" w:styleId="21">
    <w:name w:val="Balloon Text Char"/>
    <w:basedOn w:val="9"/>
    <w:link w:val="3"/>
    <w:qFormat/>
    <w:locked/>
    <w:uiPriority w:val="99"/>
    <w:rPr>
      <w:kern w:val="2"/>
      <w:sz w:val="18"/>
      <w:szCs w:val="18"/>
    </w:rPr>
  </w:style>
  <w:style w:type="character" w:customStyle="1" w:styleId="22">
    <w:name w:val="Footer Char"/>
    <w:basedOn w:val="9"/>
    <w:link w:val="4"/>
    <w:semiHidden/>
    <w:qFormat/>
    <w:uiPriority w:val="99"/>
    <w:rPr>
      <w:sz w:val="18"/>
      <w:szCs w:val="18"/>
    </w:rPr>
  </w:style>
  <w:style w:type="character" w:customStyle="1" w:styleId="23">
    <w:name w:val="Header Char"/>
    <w:basedOn w:val="9"/>
    <w:link w:val="5"/>
    <w:semiHidden/>
    <w:qFormat/>
    <w:uiPriority w:val="99"/>
    <w:rPr>
      <w:sz w:val="18"/>
      <w:szCs w:val="18"/>
    </w:rPr>
  </w:style>
  <w:style w:type="character" w:customStyle="1" w:styleId="24">
    <w:name w:val="pass"/>
    <w:basedOn w:val="9"/>
    <w:qFormat/>
    <w:uiPriority w:val="99"/>
    <w:rPr>
      <w:color w:val="auto"/>
    </w:rPr>
  </w:style>
  <w:style w:type="character" w:customStyle="1" w:styleId="25">
    <w:name w:val="clear2"/>
    <w:basedOn w:val="9"/>
    <w:qFormat/>
    <w:uiPriority w:val="99"/>
    <w:rPr>
      <w:sz w:val="2"/>
      <w:szCs w:val="2"/>
    </w:rPr>
  </w:style>
  <w:style w:type="paragraph" w:styleId="26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13</Pages>
  <Words>1106</Words>
  <Characters>6309</Characters>
  <Lines>0</Lines>
  <Paragraphs>0</Paragraphs>
  <TotalTime>6</TotalTime>
  <ScaleCrop>false</ScaleCrop>
  <LinksUpToDate>false</LinksUpToDate>
  <CharactersWithSpaces>0</CharactersWithSpaces>
  <Application>WPS Office_11.1.0.8517_F1E327BC-269C-435d-A152-05C5408002CA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2018-12-27T07:04:00Z</dcterms:created>
  <dc:creator>张茜</dc:creator>
  <cp:lastModifiedBy>Administrator</cp:lastModifiedBy>
  <dcterms:modified xsi:type="dcterms:W3CDTF">2019-03-04T08:43:27Z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2052-11.1.0.8517</vt:lpwstr>
  </property>
</Properties>
</file>